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BB271">
      <w:pPr>
        <w:snapToGrid w:val="0"/>
        <w:spacing w:line="440" w:lineRule="exact"/>
        <w:jc w:val="center"/>
        <w:rPr>
          <w:rFonts w:hint="eastAsia" w:ascii="方正小标宋简体" w:hAnsi="方正小标宋简体" w:eastAsia="方正小标宋简体" w:cs="方正小标宋简体"/>
          <w:color w:val="000000"/>
          <w:sz w:val="32"/>
          <w:szCs w:val="32"/>
          <w:lang w:eastAsia="zh-CN"/>
        </w:rPr>
      </w:pPr>
      <w:r>
        <w:rPr>
          <w:rFonts w:hint="eastAsia" w:ascii="Times New Roman" w:hAnsi="Times New Roman" w:eastAsia="方正小标宋简体" w:cs="方正仿宋简体"/>
          <w:color w:val="000000"/>
          <w:sz w:val="32"/>
          <w:szCs w:val="32"/>
        </w:rPr>
        <w:t>2026年北京市</w:t>
      </w:r>
      <w:r>
        <w:rPr>
          <w:rFonts w:hint="eastAsia" w:ascii="方正小标宋简体" w:hAnsi="方正小标宋简体" w:eastAsia="方正小标宋简体" w:cs="方正小标宋简体"/>
          <w:color w:val="000000"/>
          <w:sz w:val="32"/>
          <w:szCs w:val="32"/>
          <w:lang w:eastAsia="zh-CN"/>
        </w:rPr>
        <w:t>其他食品用制品（</w:t>
      </w:r>
      <w:r>
        <w:rPr>
          <w:rFonts w:hint="eastAsia" w:ascii="方正小标宋简体" w:hAnsi="方正小标宋简体" w:eastAsia="方正小标宋简体" w:cs="方正小标宋简体"/>
          <w:color w:val="000000"/>
          <w:sz w:val="32"/>
          <w:szCs w:val="32"/>
          <w:lang w:val="en-US" w:eastAsia="zh-CN"/>
        </w:rPr>
        <w:t>硅</w:t>
      </w:r>
      <w:r>
        <w:rPr>
          <w:rFonts w:hint="eastAsia" w:ascii="方正小标宋简体" w:hAnsi="方正小标宋简体" w:eastAsia="方正小标宋简体" w:cs="方正小标宋简体"/>
          <w:color w:val="000000"/>
          <w:sz w:val="32"/>
          <w:szCs w:val="32"/>
        </w:rPr>
        <w:t>橡胶制品</w:t>
      </w:r>
      <w:r>
        <w:rPr>
          <w:rFonts w:hint="eastAsia" w:ascii="方正小标宋简体" w:hAnsi="方正小标宋简体" w:eastAsia="方正小标宋简体" w:cs="方正小标宋简体"/>
          <w:color w:val="000000"/>
          <w:sz w:val="32"/>
          <w:szCs w:val="32"/>
          <w:lang w:eastAsia="zh-CN"/>
        </w:rPr>
        <w:t>）</w:t>
      </w:r>
    </w:p>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0795E4F9">
      <w:pPr>
        <w:snapToGrid/>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rPr>
        <w:t>对于标准口径硅橡胶奶嘴产品，每批次产品抽取样品28个，其中22个作为检验样品，6个作为备用样品。</w:t>
      </w:r>
    </w:p>
    <w:p w14:paraId="2A41FE21">
      <w:pPr>
        <w:snapToGrid/>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rPr>
        <w:t>对于宽口径硅橡胶奶嘴产品，每批次产品抽取样品16个，其中13个作为检验样品，3个作为备用样品。</w:t>
      </w:r>
    </w:p>
    <w:p w14:paraId="72A5353D">
      <w:pPr>
        <w:snapToGrid/>
        <w:spacing w:line="520" w:lineRule="exact"/>
        <w:ind w:firstLine="440" w:firstLineChars="200"/>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其他硅橡胶产品</w:t>
      </w:r>
      <w:r>
        <w:rPr>
          <w:rFonts w:hint="eastAsia" w:ascii="Times New Roman" w:hAnsi="Times New Roman" w:eastAsia="宋体" w:cs="宋体"/>
          <w:sz w:val="22"/>
          <w:szCs w:val="28"/>
        </w:rPr>
        <w:t>抽样数量不少于20个，其中检验用样品不少于15个，备用样品不少于5个。</w:t>
      </w:r>
    </w:p>
    <w:p w14:paraId="025017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eastAsia="zh-CN"/>
        </w:rPr>
      </w:pPr>
      <w:r>
        <w:rPr>
          <w:rFonts w:hint="eastAsia" w:ascii="Times New Roman" w:hAnsi="Times New Roman" w:eastAsia="宋体" w:cs="宋体"/>
          <w:sz w:val="22"/>
          <w:szCs w:val="28"/>
          <w:lang w:eastAsia="zh-CN"/>
        </w:rPr>
        <w:t>现场提取受检产品的标签、说明书、合格证、符合性声明、随附文件等。必要时，应向经销商索取产品外包装（如：纸箱等）所附带的产品信息。</w:t>
      </w:r>
    </w:p>
    <w:p w14:paraId="18B006A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5"/>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47"/>
        <w:gridCol w:w="2534"/>
        <w:gridCol w:w="2813"/>
        <w:gridCol w:w="2813"/>
      </w:tblGrid>
      <w:tr w14:paraId="741584A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13"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58881FBD">
            <w:pPr>
              <w:jc w:val="center"/>
              <w:rPr>
                <w:rFonts w:ascii="Times New Roman" w:hAnsi="Times New Roman" w:cs="Times New Roman"/>
                <w:sz w:val="21"/>
                <w:szCs w:val="21"/>
              </w:rPr>
            </w:pPr>
            <w:r>
              <w:rPr>
                <w:rFonts w:ascii="Times New Roman" w:hAnsi="Times New Roman" w:cs="Times New Roman"/>
                <w:sz w:val="21"/>
                <w:szCs w:val="21"/>
              </w:rPr>
              <w:t>序号</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5012CDE4">
            <w:pPr>
              <w:jc w:val="center"/>
              <w:rPr>
                <w:rFonts w:ascii="Times New Roman" w:hAnsi="Times New Roman" w:cs="Times New Roman"/>
                <w:sz w:val="21"/>
                <w:szCs w:val="21"/>
              </w:rPr>
            </w:pPr>
            <w:r>
              <w:rPr>
                <w:rFonts w:ascii="Times New Roman" w:hAnsi="Times New Roman" w:cs="Times New Roman"/>
                <w:sz w:val="21"/>
                <w:szCs w:val="21"/>
              </w:rPr>
              <w:t>检验项目</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5C4F1926">
            <w:pPr>
              <w:jc w:val="center"/>
              <w:rPr>
                <w:rFonts w:ascii="Times New Roman" w:hAnsi="Times New Roman" w:cs="Times New Roman"/>
                <w:sz w:val="21"/>
                <w:szCs w:val="21"/>
              </w:rPr>
            </w:pPr>
            <w:r>
              <w:rPr>
                <w:rFonts w:hint="eastAsia" w:ascii="Times New Roman" w:hAnsi="Times New Roman" w:cs="Times New Roman"/>
                <w:sz w:val="21"/>
                <w:szCs w:val="21"/>
              </w:rPr>
              <w:t>检验依据</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63385B83">
            <w:pPr>
              <w:jc w:val="center"/>
              <w:rPr>
                <w:rFonts w:hint="eastAsia" w:ascii="Times New Roman" w:hAnsi="Times New Roman" w:cs="Times New Roman"/>
                <w:sz w:val="21"/>
                <w:szCs w:val="21"/>
              </w:rPr>
            </w:pPr>
            <w:r>
              <w:rPr>
                <w:rFonts w:ascii="Times New Roman" w:hAnsi="Times New Roman" w:cs="Times New Roman"/>
                <w:sz w:val="21"/>
                <w:szCs w:val="21"/>
              </w:rPr>
              <w:t>检验方法</w:t>
            </w:r>
          </w:p>
        </w:tc>
      </w:tr>
      <w:tr w14:paraId="1ECA72E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0B4E01D1">
            <w:pPr>
              <w:jc w:val="center"/>
              <w:rPr>
                <w:rFonts w:ascii="Times New Roman" w:hAnsi="Times New Roman" w:cs="Times New Roman"/>
                <w:sz w:val="21"/>
                <w:szCs w:val="21"/>
              </w:rPr>
            </w:pPr>
            <w:r>
              <w:rPr>
                <w:rFonts w:ascii="Times New Roman" w:hAnsi="Times New Roman" w:cs="Times New Roman"/>
                <w:sz w:val="21"/>
                <w:szCs w:val="21"/>
              </w:rPr>
              <w:t>1</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1C136878">
            <w:pPr>
              <w:widowControl/>
              <w:jc w:val="center"/>
              <w:textAlignment w:val="center"/>
              <w:rPr>
                <w:rFonts w:hint="eastAsia" w:ascii="Times New Roman" w:hAnsi="Times New Roman" w:cs="Times New Roman"/>
                <w:sz w:val="21"/>
                <w:szCs w:val="21"/>
              </w:rPr>
            </w:pPr>
            <w:r>
              <w:rPr>
                <w:rStyle w:val="8"/>
                <w:rFonts w:hint="default"/>
                <w:sz w:val="21"/>
                <w:szCs w:val="21"/>
                <w:lang w:bidi="ar"/>
              </w:rPr>
              <w:t>感官要求</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5FEA70F3">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6EE124F8">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3F53602B">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2F538476">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07FB1DDA">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70F9CECE">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r>
      <w:tr w14:paraId="387FB23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68C99377">
            <w:pPr>
              <w:jc w:val="center"/>
              <w:rPr>
                <w:rFonts w:ascii="Times New Roman" w:hAnsi="Times New Roman" w:cs="Times New Roman"/>
                <w:sz w:val="21"/>
                <w:szCs w:val="21"/>
              </w:rPr>
            </w:pPr>
            <w:r>
              <w:rPr>
                <w:rFonts w:ascii="Times New Roman" w:hAnsi="Times New Roman" w:cs="Times New Roman"/>
                <w:sz w:val="21"/>
                <w:szCs w:val="21"/>
              </w:rPr>
              <w:t>2</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56A4B9BF">
            <w:pPr>
              <w:widowControl/>
              <w:jc w:val="center"/>
              <w:textAlignment w:val="center"/>
              <w:rPr>
                <w:rFonts w:ascii="Times New Roman" w:hAnsi="Times New Roman" w:cs="Times New Roman"/>
                <w:sz w:val="21"/>
                <w:szCs w:val="21"/>
              </w:rPr>
            </w:pPr>
            <w:r>
              <w:rPr>
                <w:rStyle w:val="8"/>
                <w:rFonts w:hint="default"/>
                <w:sz w:val="21"/>
                <w:szCs w:val="21"/>
                <w:lang w:bidi="ar"/>
              </w:rPr>
              <w:t>总迁移量</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48EA807D">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0E09B216">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75D40267">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1B77ACBE">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31604.8—2021</w:t>
            </w:r>
          </w:p>
        </w:tc>
      </w:tr>
      <w:tr w14:paraId="22D8A0C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16C16FAD">
            <w:pPr>
              <w:jc w:val="center"/>
              <w:rPr>
                <w:rFonts w:ascii="Times New Roman" w:hAnsi="Times New Roman" w:cs="Times New Roman"/>
                <w:sz w:val="21"/>
                <w:szCs w:val="21"/>
              </w:rPr>
            </w:pPr>
            <w:r>
              <w:rPr>
                <w:rFonts w:ascii="Times New Roman" w:hAnsi="Times New Roman" w:cs="Times New Roman"/>
                <w:sz w:val="21"/>
                <w:szCs w:val="21"/>
              </w:rPr>
              <w:t>3</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36DD95B3">
            <w:pPr>
              <w:widowControl/>
              <w:jc w:val="center"/>
              <w:textAlignment w:val="center"/>
              <w:rPr>
                <w:rFonts w:ascii="Times New Roman" w:hAnsi="Times New Roman" w:cs="Times New Roman"/>
                <w:sz w:val="21"/>
                <w:szCs w:val="21"/>
              </w:rPr>
            </w:pPr>
            <w:r>
              <w:rPr>
                <w:rStyle w:val="8"/>
                <w:rFonts w:hint="default"/>
                <w:sz w:val="21"/>
                <w:szCs w:val="21"/>
                <w:lang w:bidi="ar"/>
              </w:rPr>
              <w:t>高锰酸钾消耗量</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44299193">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18AE6A06">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38262CB5">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56512192">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31604.2—2016</w:t>
            </w:r>
          </w:p>
        </w:tc>
      </w:tr>
      <w:tr w14:paraId="02DD432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2A05CCF4">
            <w:pPr>
              <w:jc w:val="center"/>
              <w:rPr>
                <w:rFonts w:ascii="Times New Roman" w:hAnsi="Times New Roman" w:cs="Times New Roman"/>
                <w:sz w:val="21"/>
                <w:szCs w:val="21"/>
              </w:rPr>
            </w:pPr>
            <w:r>
              <w:rPr>
                <w:rFonts w:ascii="Times New Roman" w:hAnsi="Times New Roman" w:cs="Times New Roman"/>
                <w:sz w:val="21"/>
                <w:szCs w:val="21"/>
              </w:rPr>
              <w:t>4</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43A4C25F">
            <w:pPr>
              <w:widowControl/>
              <w:jc w:val="center"/>
              <w:textAlignment w:val="center"/>
              <w:rPr>
                <w:rFonts w:hint="eastAsia" w:ascii="Times New Roman" w:hAnsi="Times New Roman" w:cs="Times New Roman"/>
                <w:sz w:val="21"/>
                <w:szCs w:val="21"/>
              </w:rPr>
            </w:pPr>
            <w:r>
              <w:rPr>
                <w:rStyle w:val="8"/>
                <w:rFonts w:hint="default"/>
                <w:sz w:val="21"/>
                <w:szCs w:val="21"/>
                <w:lang w:bidi="ar"/>
              </w:rPr>
              <w:t>重金属（以</w:t>
            </w:r>
            <w:r>
              <w:rPr>
                <w:rStyle w:val="9"/>
                <w:sz w:val="21"/>
                <w:szCs w:val="21"/>
                <w:lang w:bidi="ar"/>
              </w:rPr>
              <w:t>Pb</w:t>
            </w:r>
            <w:r>
              <w:rPr>
                <w:rStyle w:val="8"/>
                <w:rFonts w:hint="default"/>
                <w:sz w:val="21"/>
                <w:szCs w:val="21"/>
                <w:lang w:bidi="ar"/>
              </w:rPr>
              <w:t>计）</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2883E12C">
            <w:pPr>
              <w:widowControl/>
              <w:jc w:val="center"/>
              <w:textAlignment w:val="center"/>
              <w:rPr>
                <w:rFonts w:hint="eastAsia"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4806.1</w:t>
            </w:r>
            <w:r>
              <w:rPr>
                <w:rFonts w:hint="eastAsia" w:ascii="Times New Roman" w:hAnsi="Times New Roman" w:cs="Times New Roman"/>
                <w:color w:val="000000"/>
                <w:kern w:val="0"/>
                <w:sz w:val="21"/>
                <w:szCs w:val="21"/>
                <w:highlight w:val="none"/>
                <w:lang w:bidi="ar"/>
              </w:rPr>
              <w:t>1</w:t>
            </w:r>
            <w:r>
              <w:rPr>
                <w:rFonts w:ascii="Times New Roman" w:hAnsi="Times New Roman" w:cs="Times New Roman"/>
                <w:color w:val="000000"/>
                <w:kern w:val="0"/>
                <w:sz w:val="21"/>
                <w:szCs w:val="21"/>
                <w:highlight w:val="none"/>
                <w:lang w:bidi="ar"/>
              </w:rPr>
              <w:t>—20</w:t>
            </w:r>
            <w:r>
              <w:rPr>
                <w:rFonts w:hint="eastAsia" w:ascii="Times New Roman" w:hAnsi="Times New Roman" w:cs="Times New Roman"/>
                <w:color w:val="000000"/>
                <w:kern w:val="0"/>
                <w:sz w:val="21"/>
                <w:szCs w:val="21"/>
                <w:highlight w:val="none"/>
                <w:lang w:bidi="ar"/>
              </w:rPr>
              <w:t>16</w:t>
            </w:r>
          </w:p>
          <w:p w14:paraId="5D81443D">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46B1F7BE">
            <w:pPr>
              <w:widowControl/>
              <w:jc w:val="center"/>
              <w:textAlignment w:val="center"/>
              <w:rPr>
                <w:rFonts w:hint="default"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1236A242">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31604.9—20</w:t>
            </w:r>
            <w:r>
              <w:rPr>
                <w:rFonts w:hint="eastAsia" w:ascii="Times New Roman" w:hAnsi="Times New Roman" w:cs="Times New Roman"/>
                <w:color w:val="000000"/>
                <w:kern w:val="0"/>
                <w:sz w:val="21"/>
                <w:szCs w:val="21"/>
                <w:highlight w:val="none"/>
                <w:lang w:bidi="ar"/>
              </w:rPr>
              <w:t>16</w:t>
            </w:r>
          </w:p>
        </w:tc>
      </w:tr>
      <w:tr w14:paraId="4681AA9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9"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438B7C44">
            <w:pP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8</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3EF5FF84">
            <w:pPr>
              <w:widowControl/>
              <w:jc w:val="center"/>
              <w:textAlignment w:val="center"/>
              <w:rPr>
                <w:rFonts w:ascii="Times New Roman" w:hAnsi="Times New Roman" w:cs="Times New Roman"/>
                <w:color w:val="000000"/>
                <w:kern w:val="0"/>
                <w:sz w:val="21"/>
                <w:szCs w:val="21"/>
                <w:lang w:bidi="ar"/>
              </w:rPr>
            </w:pPr>
            <w:r>
              <w:rPr>
                <w:rFonts w:hint="eastAsia" w:ascii="Times New Roman" w:hAnsi="Times New Roman" w:cs="Times New Roman"/>
                <w:color w:val="000000"/>
                <w:kern w:val="0"/>
                <w:sz w:val="21"/>
                <w:szCs w:val="21"/>
                <w:lang w:bidi="ar"/>
              </w:rPr>
              <w:t>挥发性物质</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043DFC34">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4806.2—2015</w:t>
            </w:r>
          </w:p>
          <w:p w14:paraId="3A869873">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513141D4">
            <w:pPr>
              <w:widowControl/>
              <w:jc w:val="center"/>
              <w:textAlignment w:val="center"/>
              <w:rPr>
                <w:rFonts w:ascii="Times New Roman" w:hAnsi="Times New Roman" w:cs="Times New Roman"/>
                <w:color w:val="000000"/>
                <w:kern w:val="0"/>
                <w:sz w:val="21"/>
                <w:szCs w:val="21"/>
                <w:highlight w:val="none"/>
                <w:lang w:bidi="ar"/>
              </w:rPr>
            </w:pP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0453674C">
            <w:pPr>
              <w:widowControl/>
              <w:jc w:val="center"/>
              <w:textAlignment w:val="center"/>
              <w:rPr>
                <w:rFonts w:ascii="Times New Roman" w:hAnsi="Times New Roman" w:cs="Times New Roman"/>
                <w:color w:val="000000"/>
                <w:kern w:val="0"/>
                <w:sz w:val="21"/>
                <w:szCs w:val="21"/>
                <w:highlight w:val="none"/>
                <w:lang w:bidi="ar"/>
              </w:rPr>
            </w:pPr>
            <w:r>
              <w:rPr>
                <w:rFonts w:ascii="Times New Roman" w:hAnsi="Times New Roman" w:cs="Times New Roman"/>
                <w:color w:val="000000"/>
                <w:kern w:val="0"/>
                <w:sz w:val="21"/>
                <w:szCs w:val="21"/>
                <w:highlight w:val="none"/>
                <w:lang w:bidi="ar"/>
              </w:rPr>
              <w:t>GB 28482—2012</w:t>
            </w:r>
          </w:p>
          <w:p w14:paraId="77B9FE1C">
            <w:pPr>
              <w:widowControl/>
              <w:jc w:val="center"/>
              <w:textAlignment w:val="center"/>
              <w:rPr>
                <w:rFonts w:hint="default" w:ascii="Times New Roman" w:hAnsi="Times New Roman" w:cs="Times New Roman"/>
                <w:color w:val="000000"/>
                <w:kern w:val="0"/>
                <w:sz w:val="21"/>
                <w:szCs w:val="21"/>
                <w:highlight w:val="none"/>
                <w:lang w:bidi="ar"/>
              </w:rPr>
            </w:pPr>
            <w:r>
              <w:rPr>
                <w:rFonts w:hint="default" w:ascii="Times New Roman" w:hAnsi="Times New Roman" w:cs="Times New Roman"/>
                <w:color w:val="000000"/>
                <w:kern w:val="0"/>
                <w:sz w:val="21"/>
                <w:szCs w:val="21"/>
                <w:highlight w:val="none"/>
                <w:lang w:bidi="ar"/>
              </w:rPr>
              <w:t>GB 4806.16</w:t>
            </w:r>
            <w:r>
              <w:rPr>
                <w:rFonts w:ascii="Times New Roman" w:hAnsi="Times New Roman" w:cs="Times New Roman"/>
                <w:color w:val="000000"/>
                <w:kern w:val="0"/>
                <w:sz w:val="21"/>
                <w:szCs w:val="21"/>
                <w:highlight w:val="none"/>
                <w:lang w:bidi="ar"/>
              </w:rPr>
              <w:t>—</w:t>
            </w:r>
            <w:r>
              <w:rPr>
                <w:rFonts w:hint="default" w:ascii="Times New Roman" w:hAnsi="Times New Roman" w:cs="Times New Roman"/>
                <w:color w:val="000000"/>
                <w:kern w:val="0"/>
                <w:sz w:val="21"/>
                <w:szCs w:val="21"/>
                <w:highlight w:val="none"/>
                <w:lang w:bidi="ar"/>
              </w:rPr>
              <w:t>2025</w:t>
            </w:r>
          </w:p>
          <w:p w14:paraId="54549646">
            <w:pPr>
              <w:widowControl/>
              <w:jc w:val="center"/>
              <w:textAlignment w:val="center"/>
              <w:rPr>
                <w:rFonts w:ascii="Times New Roman" w:hAnsi="Times New Roman" w:cs="Times New Roman"/>
                <w:color w:val="000000"/>
                <w:kern w:val="0"/>
                <w:sz w:val="21"/>
                <w:szCs w:val="21"/>
                <w:highlight w:val="none"/>
                <w:lang w:bidi="ar"/>
              </w:rPr>
            </w:pPr>
          </w:p>
        </w:tc>
      </w:tr>
      <w:tr w14:paraId="4E305E4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2E01472C">
            <w:pPr>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9</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1D123C3F">
            <w:pPr>
              <w:adjustRightInd w:val="0"/>
              <w:snapToGrid w:val="0"/>
              <w:jc w:val="center"/>
              <w:rPr>
                <w:rFonts w:hint="eastAsia" w:ascii="Times New Roman" w:hAnsi="Times New Roman" w:cs="Times New Roman"/>
                <w:color w:val="000000"/>
                <w:kern w:val="0"/>
                <w:sz w:val="21"/>
                <w:szCs w:val="21"/>
                <w:lang w:bidi="ar"/>
              </w:rPr>
            </w:pPr>
            <w:r>
              <w:rPr>
                <w:szCs w:val="21"/>
              </w:rPr>
              <w:t>锌(Zn)迁移量</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44A96D7C">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2745E6F9">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31604.42—2016</w:t>
            </w:r>
            <w:r>
              <w:rPr>
                <w:rFonts w:hint="eastAsia" w:ascii="Times New Roman" w:hAnsi="Times New Roman" w:cs="Times New Roman"/>
                <w:color w:val="000000"/>
                <w:kern w:val="0"/>
                <w:sz w:val="21"/>
                <w:szCs w:val="21"/>
                <w:lang w:bidi="ar"/>
              </w:rPr>
              <w:t>或</w:t>
            </w:r>
          </w:p>
          <w:p w14:paraId="35AE5E7C">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31604.49—2023</w:t>
            </w:r>
          </w:p>
        </w:tc>
      </w:tr>
      <w:tr w14:paraId="61A7DD8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647" w:type="dxa"/>
            <w:tcBorders>
              <w:top w:val="outset" w:color="000000" w:sz="6" w:space="0"/>
              <w:left w:val="outset" w:color="000000" w:sz="6" w:space="0"/>
              <w:bottom w:val="outset" w:color="000000" w:sz="6" w:space="0"/>
              <w:right w:val="outset" w:color="000000" w:sz="6" w:space="0"/>
            </w:tcBorders>
            <w:noWrap w:val="0"/>
            <w:vAlign w:val="center"/>
          </w:tcPr>
          <w:p w14:paraId="61197A40">
            <w:pPr>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10</w:t>
            </w:r>
          </w:p>
        </w:tc>
        <w:tc>
          <w:tcPr>
            <w:tcW w:w="2534" w:type="dxa"/>
            <w:tcBorders>
              <w:top w:val="outset" w:color="000000" w:sz="6" w:space="0"/>
              <w:left w:val="outset" w:color="000000" w:sz="6" w:space="0"/>
              <w:bottom w:val="outset" w:color="000000" w:sz="6" w:space="0"/>
              <w:right w:val="single" w:color="auto" w:sz="4" w:space="0"/>
            </w:tcBorders>
            <w:noWrap w:val="0"/>
            <w:vAlign w:val="center"/>
          </w:tcPr>
          <w:p w14:paraId="5EECB9BC">
            <w:pPr>
              <w:adjustRightInd w:val="0"/>
              <w:snapToGrid w:val="0"/>
              <w:jc w:val="center"/>
              <w:rPr>
                <w:rFonts w:hint="eastAsia" w:ascii="Times New Roman" w:hAnsi="Times New Roman" w:cs="Times New Roman"/>
                <w:color w:val="000000"/>
                <w:kern w:val="0"/>
                <w:sz w:val="21"/>
                <w:szCs w:val="21"/>
                <w:lang w:bidi="ar"/>
              </w:rPr>
            </w:pPr>
            <w:r>
              <w:rPr>
                <w:rFonts w:ascii="Times New Roman" w:hAnsi="Times New Roman" w:cs="Times New Roman"/>
                <w:szCs w:val="21"/>
              </w:rPr>
              <w:t>N</w:t>
            </w:r>
            <w:r>
              <w:rPr>
                <w:rFonts w:hint="default" w:ascii="Times New Roman" w:hAnsi="Times New Roman" w:cs="Times New Roman"/>
                <w:szCs w:val="21"/>
                <w:lang w:val="en-US" w:eastAsia="zh-CN"/>
              </w:rPr>
              <w:t>-</w:t>
            </w:r>
            <w:r>
              <w:rPr>
                <w:rFonts w:ascii="Times New Roman" w:hAnsi="Times New Roman" w:cs="Times New Roman"/>
                <w:szCs w:val="21"/>
              </w:rPr>
              <w:t>亚硝胺和N</w:t>
            </w:r>
            <w:r>
              <w:rPr>
                <w:rFonts w:hint="default" w:ascii="Times New Roman" w:hAnsi="Times New Roman" w:cs="Times New Roman"/>
                <w:szCs w:val="21"/>
                <w:lang w:val="en-US" w:eastAsia="zh-CN"/>
              </w:rPr>
              <w:t>-</w:t>
            </w:r>
            <w:r>
              <w:rPr>
                <w:rFonts w:ascii="Times New Roman" w:hAnsi="Times New Roman" w:cs="Times New Roman"/>
                <w:szCs w:val="21"/>
              </w:rPr>
              <w:t>亚硝胺可生成物释放量</w:t>
            </w:r>
            <w:r>
              <w:rPr>
                <w:rFonts w:ascii="Times New Roman" w:hAnsi="Times New Roman" w:cs="Times New Roman"/>
                <w:szCs w:val="21"/>
                <w:vertAlign w:val="superscript"/>
              </w:rPr>
              <w:t xml:space="preserve"> </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52B409AE">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4806.2—2015</w:t>
            </w:r>
          </w:p>
        </w:tc>
        <w:tc>
          <w:tcPr>
            <w:tcW w:w="2813" w:type="dxa"/>
            <w:tcBorders>
              <w:top w:val="outset" w:color="000000" w:sz="6" w:space="0"/>
              <w:left w:val="single" w:color="auto" w:sz="4" w:space="0"/>
              <w:bottom w:val="outset" w:color="000000" w:sz="6" w:space="0"/>
              <w:right w:val="outset" w:color="000000" w:sz="6" w:space="0"/>
            </w:tcBorders>
            <w:noWrap w:val="0"/>
            <w:vAlign w:val="center"/>
          </w:tcPr>
          <w:p w14:paraId="00326C62">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 28482—2012</w:t>
            </w:r>
          </w:p>
          <w:p w14:paraId="6F5ABCC6">
            <w:pPr>
              <w:widowControl/>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GB/T 24153—2009</w:t>
            </w:r>
          </w:p>
        </w:tc>
      </w:tr>
    </w:tbl>
    <w:p w14:paraId="6B59FEB2">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1F1CD16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bookmarkStart w:id="0" w:name="_GoBack"/>
      <w:bookmarkEnd w:id="0"/>
    </w:p>
    <w:p w14:paraId="20ADE24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46196E61">
      <w:pPr>
        <w:snapToGrid w:val="0"/>
        <w:spacing w:line="420" w:lineRule="exact"/>
        <w:ind w:firstLine="420" w:firstLineChars="200"/>
        <w:rPr>
          <w:rFonts w:hint="default" w:ascii="Times New Roman" w:hAnsi="Times New Roman" w:cs="Times New Roman" w:eastAsiaTheme="minorEastAsia"/>
          <w:color w:val="000000"/>
          <w:lang w:val="en-US" w:eastAsia="zh-CN"/>
        </w:rPr>
      </w:pPr>
      <w:r>
        <w:rPr>
          <w:rFonts w:hint="eastAsia" w:ascii="Times New Roman" w:hAnsi="Times New Roman" w:cs="Times New Roman"/>
          <w:color w:val="000000"/>
          <w:lang w:val="en-US" w:eastAsia="zh-CN"/>
        </w:rPr>
        <w:t>GB 4806.2</w:t>
      </w:r>
      <w:r>
        <w:rPr>
          <w:rFonts w:hint="default" w:ascii="Times New Roman" w:hAnsi="Times New Roman" w:cs="Times New Roman"/>
          <w:color w:val="000000"/>
        </w:rPr>
        <w:t>—</w:t>
      </w:r>
      <w:r>
        <w:rPr>
          <w:rFonts w:hint="eastAsia" w:ascii="Times New Roman" w:hAnsi="Times New Roman" w:cs="Times New Roman"/>
          <w:color w:val="000000"/>
          <w:lang w:val="en-US" w:eastAsia="zh-CN"/>
        </w:rPr>
        <w:t>2015 食品安全国家标准  奶嘴</w:t>
      </w:r>
    </w:p>
    <w:p w14:paraId="0A062E5B">
      <w:pPr>
        <w:snapToGrid w:val="0"/>
        <w:spacing w:line="420" w:lineRule="exact"/>
        <w:ind w:firstLine="420" w:firstLineChars="200"/>
        <w:rPr>
          <w:rFonts w:hint="default" w:ascii="Times New Roman" w:hAnsi="Times New Roman" w:eastAsia="宋体" w:cs="Times New Roman"/>
          <w:color w:val="000000"/>
          <w:lang w:val="en-US" w:eastAsia="zh-CN"/>
        </w:rPr>
      </w:pPr>
      <w:r>
        <w:rPr>
          <w:rFonts w:hint="default" w:ascii="Times New Roman" w:hAnsi="Times New Roman" w:cs="Times New Roman"/>
          <w:color w:val="000000"/>
        </w:rPr>
        <w:t>GB 4806.11—2016</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rPr>
        <w:t>食品安全国家标准</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食品接触用橡胶材料及制品</w:t>
      </w:r>
    </w:p>
    <w:p w14:paraId="26D4BEC4">
      <w:pPr>
        <w:snapToGrid w:val="0"/>
        <w:spacing w:line="420" w:lineRule="exact"/>
        <w:ind w:firstLine="420" w:firstLineChars="200"/>
        <w:rPr>
          <w:rFonts w:hint="eastAsia" w:ascii="Times New Roman" w:hAnsi="Times New Roman" w:cs="Times New Roman"/>
          <w:color w:val="000000"/>
          <w:lang w:val="en-US" w:eastAsia="zh-CN"/>
        </w:rPr>
      </w:pPr>
      <w:r>
        <w:rPr>
          <w:rFonts w:hint="default" w:ascii="Times New Roman" w:hAnsi="Times New Roman" w:cs="Times New Roman"/>
          <w:color w:val="000000"/>
        </w:rPr>
        <w:t>GB 4806.16</w:t>
      </w:r>
      <w:r>
        <w:rPr>
          <w:rFonts w:ascii="Times New Roman" w:hAnsi="Times New Roman" w:cs="Times New Roman"/>
          <w:color w:val="000000"/>
          <w:kern w:val="0"/>
          <w:sz w:val="21"/>
          <w:szCs w:val="21"/>
          <w:lang w:bidi="ar"/>
        </w:rPr>
        <w:t>—</w:t>
      </w:r>
      <w:r>
        <w:rPr>
          <w:rFonts w:hint="default" w:ascii="Times New Roman" w:hAnsi="Times New Roman" w:cs="Times New Roman"/>
          <w:color w:val="000000"/>
        </w:rPr>
        <w:t xml:space="preserve">2025 食品安全国家标准 </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rPr>
        <w:t>食品接触用硅橡胶材料及制品</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5251C70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50C33CD"/>
    <w:rsid w:val="06E03F13"/>
    <w:rsid w:val="070E6657"/>
    <w:rsid w:val="0CD143AE"/>
    <w:rsid w:val="0D343503"/>
    <w:rsid w:val="107B001D"/>
    <w:rsid w:val="11F309E8"/>
    <w:rsid w:val="13144FF5"/>
    <w:rsid w:val="149E7B87"/>
    <w:rsid w:val="152A0019"/>
    <w:rsid w:val="156C55BC"/>
    <w:rsid w:val="15A01BC2"/>
    <w:rsid w:val="1DF31C58"/>
    <w:rsid w:val="1E7B23CC"/>
    <w:rsid w:val="215F29F3"/>
    <w:rsid w:val="222A1341"/>
    <w:rsid w:val="22A95270"/>
    <w:rsid w:val="246C724B"/>
    <w:rsid w:val="29B570DA"/>
    <w:rsid w:val="2B4863B8"/>
    <w:rsid w:val="2B830B12"/>
    <w:rsid w:val="2C5B2694"/>
    <w:rsid w:val="2D0718DD"/>
    <w:rsid w:val="2E5977D4"/>
    <w:rsid w:val="2E8C4181"/>
    <w:rsid w:val="2ED81174"/>
    <w:rsid w:val="33282FA9"/>
    <w:rsid w:val="37E2290C"/>
    <w:rsid w:val="38A81BB8"/>
    <w:rsid w:val="408E5B37"/>
    <w:rsid w:val="42C54070"/>
    <w:rsid w:val="43081BD1"/>
    <w:rsid w:val="439E0D9F"/>
    <w:rsid w:val="46050649"/>
    <w:rsid w:val="46F26E20"/>
    <w:rsid w:val="470C0994"/>
    <w:rsid w:val="479355A2"/>
    <w:rsid w:val="48797678"/>
    <w:rsid w:val="4BC027A8"/>
    <w:rsid w:val="4C6D02BD"/>
    <w:rsid w:val="4E227B86"/>
    <w:rsid w:val="4E3A2F69"/>
    <w:rsid w:val="523C53F3"/>
    <w:rsid w:val="534D3EB1"/>
    <w:rsid w:val="54B61D38"/>
    <w:rsid w:val="58705DF6"/>
    <w:rsid w:val="592E4311"/>
    <w:rsid w:val="5A0A6257"/>
    <w:rsid w:val="5EF030FE"/>
    <w:rsid w:val="649B4036"/>
    <w:rsid w:val="68932257"/>
    <w:rsid w:val="6E79418D"/>
    <w:rsid w:val="6EA16D2B"/>
    <w:rsid w:val="6FD607DD"/>
    <w:rsid w:val="6FF46EB5"/>
    <w:rsid w:val="701F638D"/>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31"/>
    <w:qFormat/>
    <w:uiPriority w:val="0"/>
    <w:rPr>
      <w:rFonts w:hint="eastAsia" w:ascii="宋体" w:hAnsi="宋体" w:eastAsia="宋体" w:cs="宋体"/>
      <w:color w:val="000000"/>
      <w:sz w:val="20"/>
      <w:szCs w:val="20"/>
      <w:u w:val="none"/>
    </w:rPr>
  </w:style>
  <w:style w:type="character" w:customStyle="1" w:styleId="9">
    <w:name w:val="font21"/>
    <w:qFormat/>
    <w:uiPriority w:val="0"/>
    <w:rPr>
      <w:rFonts w:hint="default" w:ascii="Times New Roman" w:hAnsi="Times New Roman" w:cs="Times New Roman"/>
      <w:color w:val="000000"/>
      <w:sz w:val="20"/>
      <w:szCs w:val="20"/>
      <w:u w:val="none"/>
    </w:rPr>
  </w:style>
  <w:style w:type="character" w:customStyle="1" w:styleId="10">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904</Words>
  <Characters>1283</Characters>
  <Lines>0</Lines>
  <Paragraphs>0</Paragraphs>
  <TotalTime>3</TotalTime>
  <ScaleCrop>false</ScaleCrop>
  <LinksUpToDate>false</LinksUpToDate>
  <CharactersWithSpaces>1326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2026-06-09T03:58:14Z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9974E88DDE9A4873A3BC53EE6406204A_13</vt:lpwstr>
  </property>
  <property fmtid="{D5CDD505-2E9C-101B-9397-08002B2CF9AE}" pid="4" name="KSOTemplateDocerSaveRecord">
    <vt:lpwstr>eyJoZGlkIjoiYjU4YTEyOWI0YTA1NzExMDUyM2E4NzRjZjM1MmQ2OWEiLCJ1c2VySWQiOiIxMTI2NTcyODI0In0=</vt:lpwstr>
  </property>
</Properties>
</file>